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须提供各运输区间对应的费用价格。报价单位与各运输区间最高限价单位保持一致。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